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47F28" w14:textId="0FDBC9F2" w:rsidR="008D4539" w:rsidRDefault="008D4539" w:rsidP="00B80126">
      <w:pPr>
        <w:jc w:val="right"/>
        <w:rPr>
          <w:b/>
          <w:bCs/>
          <w:color w:val="000000"/>
          <w:sz w:val="28"/>
          <w:szCs w:val="28"/>
          <w:lang w:val="en-US"/>
        </w:rPr>
      </w:pPr>
    </w:p>
    <w:p w14:paraId="7F3EF8F8" w14:textId="52F5F2D4" w:rsidR="008D4539" w:rsidRDefault="00377E84">
      <w:pPr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  <w:lang w:val="en-US"/>
        </w:rPr>
        <w:t>Approaches towards the Synthesis of Novel Lipoxin Analogues</w:t>
      </w:r>
    </w:p>
    <w:p w14:paraId="2DE24153" w14:textId="77777777" w:rsidR="008D4539" w:rsidRDefault="008D4539">
      <w:pPr>
        <w:jc w:val="center"/>
        <w:rPr>
          <w:color w:val="000000"/>
          <w:sz w:val="16"/>
          <w:szCs w:val="16"/>
          <w:lang w:val="en-US"/>
        </w:rPr>
      </w:pPr>
    </w:p>
    <w:p w14:paraId="5BF0D11C" w14:textId="77777777" w:rsidR="008D4539" w:rsidRDefault="008D4539" w:rsidP="00377E84">
      <w:pPr>
        <w:pStyle w:val="Heading1"/>
        <w:spacing w:after="120"/>
        <w:rPr>
          <w:rFonts w:ascii="Times New Roman" w:hAnsi="Times New Roman"/>
          <w:lang w:val="en-IE"/>
        </w:rPr>
      </w:pPr>
      <w:r>
        <w:rPr>
          <w:rFonts w:ascii="Times New Roman" w:hAnsi="Times New Roman"/>
        </w:rPr>
        <w:t xml:space="preserve">Patrick J. </w:t>
      </w:r>
      <w:proofErr w:type="spellStart"/>
      <w:r>
        <w:rPr>
          <w:rFonts w:ascii="Times New Roman" w:hAnsi="Times New Roman"/>
        </w:rPr>
        <w:t>Guiry</w:t>
      </w:r>
      <w:proofErr w:type="spellEnd"/>
      <w:r>
        <w:rPr>
          <w:rFonts w:ascii="Times New Roman" w:hAnsi="Times New Roman"/>
        </w:rPr>
        <w:t xml:space="preserve"> and </w:t>
      </w:r>
      <w:r>
        <w:rPr>
          <w:rFonts w:ascii="Times New Roman" w:hAnsi="Times New Roman"/>
          <w:u w:val="single"/>
        </w:rPr>
        <w:t>Timothy P. O’Sullivan</w:t>
      </w:r>
    </w:p>
    <w:p w14:paraId="409315B5" w14:textId="77777777" w:rsidR="008D4539" w:rsidRDefault="008D4539">
      <w:pPr>
        <w:jc w:val="center"/>
        <w:rPr>
          <w:i/>
          <w:iCs/>
          <w:color w:val="000000"/>
          <w:sz w:val="24"/>
          <w:szCs w:val="24"/>
          <w:lang w:val="en-US"/>
        </w:rPr>
      </w:pPr>
      <w:r>
        <w:rPr>
          <w:i/>
          <w:iCs/>
          <w:color w:val="000000"/>
          <w:sz w:val="24"/>
          <w:szCs w:val="24"/>
          <w:lang w:val="en-US"/>
        </w:rPr>
        <w:t xml:space="preserve">UCD </w:t>
      </w:r>
      <w:r>
        <w:rPr>
          <w:i/>
          <w:iCs/>
          <w:sz w:val="24"/>
          <w:szCs w:val="24"/>
        </w:rPr>
        <w:t>Centre for Synthesis and Chemical Biology,</w:t>
      </w:r>
      <w:r>
        <w:rPr>
          <w:i/>
          <w:iCs/>
          <w:color w:val="000000"/>
          <w:sz w:val="24"/>
          <w:szCs w:val="24"/>
          <w:lang w:val="en-US"/>
        </w:rPr>
        <w:t xml:space="preserve"> School of Chemistry, University College Dublin, Belfield, Dublin 4, Ireland</w:t>
      </w:r>
    </w:p>
    <w:p w14:paraId="65B4A83A" w14:textId="77777777" w:rsidR="008D4539" w:rsidRDefault="008D4539">
      <w:pPr>
        <w:rPr>
          <w:color w:val="000000"/>
          <w:sz w:val="16"/>
          <w:szCs w:val="16"/>
          <w:lang w:val="en-US"/>
        </w:rPr>
      </w:pPr>
      <w:r>
        <w:rPr>
          <w:color w:val="000000"/>
          <w:sz w:val="24"/>
          <w:szCs w:val="24"/>
          <w:lang w:val="en-US"/>
        </w:rPr>
        <w:t xml:space="preserve"> </w:t>
      </w:r>
    </w:p>
    <w:p w14:paraId="5EA6B35A" w14:textId="77777777" w:rsidR="008D4539" w:rsidRDefault="008D4539">
      <w:pPr>
        <w:jc w:val="center"/>
        <w:rPr>
          <w:i/>
          <w:iCs/>
          <w:color w:val="000000"/>
          <w:sz w:val="24"/>
          <w:szCs w:val="24"/>
          <w:lang w:val="en-US"/>
        </w:rPr>
      </w:pPr>
      <w:r>
        <w:rPr>
          <w:i/>
          <w:iCs/>
          <w:color w:val="000000"/>
          <w:sz w:val="24"/>
          <w:szCs w:val="24"/>
          <w:lang w:val="en-US"/>
        </w:rPr>
        <w:t>email: p.guiry@ucd.ie</w:t>
      </w:r>
      <w:hyperlink r:id="rId7" w:history="1"/>
      <w:r>
        <w:rPr>
          <w:i/>
          <w:iCs/>
          <w:color w:val="000000"/>
          <w:sz w:val="24"/>
          <w:szCs w:val="24"/>
          <w:lang w:val="en-US"/>
        </w:rPr>
        <w:t>, timothy.osullivan@ucd.ie</w:t>
      </w:r>
    </w:p>
    <w:p w14:paraId="3C3B6E52" w14:textId="77777777" w:rsidR="008D4539" w:rsidRDefault="008D4539">
      <w:pPr>
        <w:rPr>
          <w:color w:val="000000"/>
          <w:sz w:val="16"/>
          <w:szCs w:val="16"/>
          <w:lang w:val="en-US"/>
        </w:rPr>
      </w:pPr>
    </w:p>
    <w:p w14:paraId="4F040579" w14:textId="77777777" w:rsidR="008D4539" w:rsidRDefault="008D4539" w:rsidP="00B25B9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Lipoxins are a group of biologically active mediators derived from arachidonic acid through the action of lipoxygenase enzyme systems.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ADDIN EN.CITE &lt;EndNote&gt;&lt;Cite&gt;&lt;Author&gt;Serhan&lt;/Author&gt;&lt;Year&gt;1984&lt;/Year&gt;&lt;RecNum&gt;1&lt;/RecNum&gt;&lt;MDL&gt;&lt;REFERENCE_TYPE&gt;0&lt;/REFERENCE_TYPE&gt;&lt;AUTHORS&gt;&lt;AUTHOR&gt;Serhan, C. N.&lt;/AUTHOR&gt;&lt;AUTHOR&gt;Hamberg, M.&lt;/AUTHOR&gt;&lt;AUTHOR&gt;Samuelsson, B.&lt;/AUTHOR&gt;&lt;/AUTHORS&gt;&lt;YEAR&gt;1984&lt;/YEAR&gt;&lt;SECONDARY_TITLE&gt;Biochem. Biophys. Res. Commun.&lt;/SECONDARY_TITLE&gt;&lt;VOLUME&gt;118&lt;/VOLUME&gt;&lt;PAGES&gt;943&lt;/PAGES&gt;&lt;/MDL&gt;&lt;/Cite&gt;&lt;/EndNote&gt;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  <w:vertAlign w:val="superscript"/>
        </w:rPr>
        <w:t>[1]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Lipoxins are conjugated tetraene-containing eicosanoids and recent results suggest that they are associated with human disease by modulating cellular events in several physiological systems. Lipoxin A</w:t>
      </w:r>
      <w:r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 (LXA</w:t>
      </w:r>
      <w:r>
        <w:rPr>
          <w:color w:val="000000"/>
          <w:sz w:val="24"/>
          <w:szCs w:val="24"/>
          <w:vertAlign w:val="subscript"/>
        </w:rPr>
        <w:t>4</w:t>
      </w:r>
      <w:r>
        <w:rPr>
          <w:sz w:val="24"/>
          <w:szCs w:val="24"/>
        </w:rPr>
        <w:t>) (</w:t>
      </w:r>
      <w:r>
        <w:rPr>
          <w:b/>
          <w:bCs/>
          <w:sz w:val="24"/>
          <w:szCs w:val="24"/>
        </w:rPr>
        <w:t>1</w:t>
      </w:r>
      <w:r>
        <w:rPr>
          <w:sz w:val="24"/>
          <w:szCs w:val="24"/>
        </w:rPr>
        <w:t>) and lipoxin B</w:t>
      </w:r>
      <w:r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 (LXB</w:t>
      </w:r>
      <w:r>
        <w:rPr>
          <w:color w:val="000000"/>
          <w:sz w:val="24"/>
          <w:szCs w:val="24"/>
          <w:vertAlign w:val="subscript"/>
        </w:rPr>
        <w:t>4</w:t>
      </w:r>
      <w:r>
        <w:rPr>
          <w:sz w:val="24"/>
          <w:szCs w:val="24"/>
        </w:rPr>
        <w:t>) (</w:t>
      </w:r>
      <w:r>
        <w:rPr>
          <w:b/>
          <w:bCs/>
          <w:sz w:val="24"/>
          <w:szCs w:val="24"/>
        </w:rPr>
        <w:t>2</w:t>
      </w:r>
      <w:r>
        <w:rPr>
          <w:sz w:val="24"/>
          <w:szCs w:val="24"/>
        </w:rPr>
        <w:t>) are the two prime molecular targets of pharmacological interest. LXA</w:t>
      </w:r>
      <w:r>
        <w:rPr>
          <w:color w:val="000000"/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 has been identified in bronchoalveolar lavage cells while a defect in LXA</w:t>
      </w:r>
      <w:r>
        <w:rPr>
          <w:color w:val="000000"/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 production is observed in cells from patients with chronic myeloid leukaemia.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ADDIN EN.CITE &lt;EndNote&gt;&lt;Cite&gt;&lt;Author&gt;Lee&lt;/Author&gt;&lt;Year&gt;1990&lt;/Year&gt;&lt;RecNum&gt;2&lt;/RecNum&gt;&lt;MDL&gt;&lt;REFERENCE_TYPE&gt;0&lt;/REFERENCE_TYPE&gt;&lt;AUTHORS&gt;&lt;AUTHOR&gt;Lee, T. H.&lt;/AUTHOR&gt;&lt;AUTHOR&gt;Crea, A. E. G.&lt;/AUTHOR&gt;&lt;AUTHOR&gt;Grant, V.&lt;/AUTHOR&gt;&lt;AUTHOR&gt;Spur, B. W.&lt;/AUTHOR&gt;&lt;AUTHOR&gt;Marron, B. E.&lt;/AUTHOR&gt;&lt;AUTHOR&gt;Nicolaou, K. C.&lt;/AUTHOR&gt;&lt;AUTHOR&gt;Reardon, E.&lt;/AUTHOR&gt;&lt;AUTHOR&gt;Brezinski, M.&lt;/AUTHOR&gt;&lt;AUTHOR&gt;Serhan, C. N.&lt;/AUTHOR&gt;&lt;/AUTHORS&gt;&lt;YEAR&gt;1990&lt;/YEAR&gt;&lt;SECONDARY_TITLE&gt;Am. Rev. Respir. Dis.&lt;/SECONDARY_TITLE&gt;&lt;VOLUME&gt;141&lt;/VOLUME&gt;&lt;PAGES&gt;153&lt;/PAGES&gt;&lt;/MDL&gt;&lt;/Cite&gt;&lt;Cite&gt;&lt;Author&gt;Stenke&lt;/Author&gt;&lt;Year&gt;1990&lt;/Year&gt;&lt;RecNum&gt;3&lt;/RecNum&gt;&lt;MDL&gt;&lt;REFERENCE_TYPE&gt;3&lt;/REFERENCE_TYPE&gt;&lt;AUTHORS&gt;&lt;AUTHOR&gt;Stenke, L.&lt;/AUTHOR&gt;&lt;AUTHOR&gt;Nasman-Glaser, B.&lt;/AUTHOR&gt;&lt;AUTHOR&gt;Lindgren, J. A.&lt;/AUTHOR&gt;&lt;/AUTHORS&gt;&lt;YEAR&gt;1990&lt;/YEAR&gt;&lt;SECONDARY_TITLE&gt;Proc. 7th Int. Conf. Prostaglandins&lt;/SECONDARY_TITLE&gt;&lt;PLACE_PUBLISHED&gt;Florence&lt;/PLACE_PUBLISHED&gt;&lt;PAGES&gt;7&lt;/PAGES&gt;&lt;/MDL&gt;&lt;/Cite&gt;&lt;/EndNote&gt;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  <w:vertAlign w:val="superscript"/>
        </w:rPr>
        <w:t>[2, 3]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In light of the activity associated with this relatively new class of biological regulators, their synthesis has already been investigated by a number of groups worldwide. This work has helped to elucidate the absolute stereochemistry of these naturally occurring compounds.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ADDIN EN.CITE &lt;EndNote&gt;&lt;Cite&gt;&lt;Author&gt;Nicolaou&lt;/Author&gt;&lt;Year&gt;1991&lt;/Year&gt;&lt;RecNum&gt;4&lt;/RecNum&gt;&lt;MDL&gt;&lt;REFERENCE_TYPE&gt;0&lt;/REFERENCE_TYPE&gt;&lt;AUTHORS&gt;&lt;AUTHOR&gt;Nicolaou, K. C.&lt;/AUTHOR&gt;&lt;AUTHOR&gt;Ramphal, J. Y.&lt;/AUTHOR&gt;&lt;AUTHOR&gt;Petasis, N. A.&lt;/AUTHOR&gt;&lt;AUTHOR&gt;Serhan, C. N.&lt;/AUTHOR&gt;&lt;/AUTHORS&gt;&lt;YEAR&gt;1991&lt;/YEAR&gt;&lt;SECONDARY_TITLE&gt;Angew. Chem. Int. Ed. Engl.&lt;/SECONDARY_TITLE&gt;&lt;VOLUME&gt;90&lt;/VOLUME&gt;&lt;PAGES&gt;1100-1116&lt;/PAGES&gt;&lt;/MDL&gt;&lt;/Cite&gt;&lt;/EndNote&gt;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  <w:vertAlign w:val="superscript"/>
        </w:rPr>
        <w:t>[4]</w:t>
      </w:r>
      <w:r>
        <w:rPr>
          <w:sz w:val="24"/>
          <w:szCs w:val="24"/>
        </w:rPr>
        <w:fldChar w:fldCharType="end"/>
      </w:r>
    </w:p>
    <w:p w14:paraId="6852C9F2" w14:textId="3BE5FD5A" w:rsidR="008D4539" w:rsidRPr="001A6BB2" w:rsidRDefault="00A748F3" w:rsidP="00B25B9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120"/>
        <w:jc w:val="center"/>
        <w:rPr>
          <w:sz w:val="16"/>
          <w:szCs w:val="16"/>
        </w:rPr>
      </w:pPr>
      <w:r>
        <w:rPr>
          <w:noProof/>
        </w:rPr>
        <w:object w:dxaOrig="7384" w:dyaOrig="2068" w14:anchorId="01352C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03pt;height:85.5pt;mso-width-percent:0;mso-height-percent:0;mso-width-percent:0;mso-height-percent:0" o:ole="">
            <v:imagedata r:id="rId8" o:title=""/>
          </v:shape>
          <o:OLEObject Type="Embed" ProgID="ChemDraw.Document.6.0" ShapeID="_x0000_i1025" DrawAspect="Content" ObjectID="_1713790853" r:id="rId9"/>
        </w:object>
      </w:r>
    </w:p>
    <w:p w14:paraId="4B1A44B2" w14:textId="136C2B94" w:rsidR="008D4539" w:rsidRDefault="008D4539" w:rsidP="00B25B9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120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>This project focuses on the total synthesis of analogues of LXA</w:t>
      </w:r>
      <w:r>
        <w:rPr>
          <w:color w:val="000000"/>
          <w:sz w:val="24"/>
          <w:szCs w:val="24"/>
          <w:vertAlign w:val="subscript"/>
          <w:lang w:val="en-US"/>
        </w:rPr>
        <w:t>4</w:t>
      </w:r>
      <w:r>
        <w:rPr>
          <w:color w:val="000000"/>
          <w:sz w:val="24"/>
          <w:szCs w:val="24"/>
          <w:lang w:val="en-US"/>
        </w:rPr>
        <w:t xml:space="preserve"> which retain the biological activity of (</w:t>
      </w:r>
      <w:r>
        <w:rPr>
          <w:b/>
          <w:bCs/>
          <w:color w:val="000000"/>
          <w:sz w:val="24"/>
          <w:szCs w:val="24"/>
          <w:lang w:val="en-US"/>
        </w:rPr>
        <w:t>1</w:t>
      </w:r>
      <w:r>
        <w:rPr>
          <w:color w:val="000000"/>
          <w:sz w:val="24"/>
          <w:szCs w:val="24"/>
          <w:lang w:val="en-US"/>
        </w:rPr>
        <w:t>) but are significantly more resistant to metabolic transformation and resultant deactivation. Accordingly, analogues of this type should be efficacious for longer periods and have wider pharmacological application. Presented here is a summary of our work to date, namely the development of a versatile synthetic route incorporating a highly convergent palladium-mediated Heck reaction.</w:t>
      </w:r>
      <w:r>
        <w:rPr>
          <w:color w:val="000000"/>
          <w:sz w:val="24"/>
          <w:szCs w:val="24"/>
          <w:lang w:val="en-US"/>
        </w:rPr>
        <w:fldChar w:fldCharType="begin"/>
      </w:r>
      <w:r>
        <w:rPr>
          <w:color w:val="000000"/>
          <w:sz w:val="24"/>
          <w:szCs w:val="24"/>
          <w:lang w:val="en-US"/>
        </w:rPr>
        <w:instrText xml:space="preserve"> ADDIN EN.CITE &lt;EndNote&gt;&lt;Cite&gt;&lt;Author&gt;Beletskaya&lt;/Author&gt;&lt;Year&gt;2000&lt;/Year&gt;&lt;RecNum&gt;5&lt;/RecNum&gt;&lt;MDL&gt;&lt;REFERENCE_TYPE&gt;0&lt;/REFERENCE_TYPE&gt;&lt;AUTHORS&gt;&lt;AUTHOR&gt;Beletskaya, I. P.&lt;/AUTHOR&gt;&lt;AUTHOR&gt;Cheprakov, A. V.&lt;/AUTHOR&gt;&lt;/AUTHORS&gt;&lt;YEAR&gt;2000&lt;/YEAR&gt;&lt;SECONDARY_TITLE&gt;Chem. Rev.&lt;/SECONDARY_TITLE&gt;&lt;VOLUME&gt;100&lt;/VOLUME&gt;&lt;PAGES&gt;3009-3066&lt;/PAGES&gt;&lt;/MDL&gt;&lt;/Cite&gt;&lt;/EndNote&gt;</w:instrText>
      </w:r>
      <w:r>
        <w:rPr>
          <w:color w:val="000000"/>
          <w:sz w:val="24"/>
          <w:szCs w:val="24"/>
          <w:lang w:val="en-US"/>
        </w:rPr>
        <w:fldChar w:fldCharType="separate"/>
      </w:r>
      <w:r>
        <w:rPr>
          <w:color w:val="000000"/>
          <w:sz w:val="24"/>
          <w:szCs w:val="24"/>
          <w:vertAlign w:val="superscript"/>
          <w:lang w:val="en-US"/>
        </w:rPr>
        <w:t>[5]</w:t>
      </w:r>
      <w:r>
        <w:rPr>
          <w:color w:val="000000"/>
          <w:sz w:val="24"/>
          <w:szCs w:val="24"/>
          <w:lang w:val="en-US"/>
        </w:rPr>
        <w:fldChar w:fldCharType="end"/>
      </w:r>
    </w:p>
    <w:p w14:paraId="37D084E3" w14:textId="5586D42D" w:rsidR="00B25B92" w:rsidRDefault="00B25B92" w:rsidP="00B25B9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120"/>
        <w:jc w:val="both"/>
        <w:rPr>
          <w:color w:val="000000"/>
          <w:sz w:val="24"/>
          <w:szCs w:val="24"/>
          <w:lang w:val="en-US"/>
        </w:rPr>
      </w:pPr>
    </w:p>
    <w:p w14:paraId="3086A8C7" w14:textId="39059962" w:rsidR="00B25B92" w:rsidRDefault="00B25B92" w:rsidP="00B25B9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120"/>
        <w:jc w:val="both"/>
        <w:rPr>
          <w:color w:val="000000"/>
          <w:sz w:val="24"/>
          <w:szCs w:val="24"/>
          <w:lang w:val="en-US"/>
        </w:rPr>
      </w:pPr>
    </w:p>
    <w:p w14:paraId="26DA1C32" w14:textId="24C55829" w:rsidR="00B25B92" w:rsidRDefault="00B25B92" w:rsidP="00B25B9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120"/>
        <w:jc w:val="both"/>
        <w:rPr>
          <w:color w:val="000000"/>
          <w:sz w:val="24"/>
          <w:szCs w:val="24"/>
          <w:lang w:val="en-US"/>
        </w:rPr>
      </w:pPr>
    </w:p>
    <w:p w14:paraId="41D3DD2F" w14:textId="473024F4" w:rsidR="00B25B92" w:rsidRDefault="00B25B92" w:rsidP="00B25B9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120"/>
        <w:jc w:val="both"/>
        <w:rPr>
          <w:color w:val="000000"/>
          <w:sz w:val="24"/>
          <w:szCs w:val="24"/>
          <w:lang w:val="en-US"/>
        </w:rPr>
      </w:pPr>
    </w:p>
    <w:p w14:paraId="5E9E77E0" w14:textId="0069B5BA" w:rsidR="00B25B92" w:rsidRDefault="00B25B92" w:rsidP="00B25B9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120"/>
        <w:jc w:val="both"/>
        <w:rPr>
          <w:color w:val="000000"/>
          <w:sz w:val="24"/>
          <w:szCs w:val="24"/>
          <w:lang w:val="en-US"/>
        </w:rPr>
      </w:pPr>
    </w:p>
    <w:p w14:paraId="726D62E1" w14:textId="77777777" w:rsidR="00B25B92" w:rsidRDefault="00B25B92" w:rsidP="00B25B9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120"/>
        <w:jc w:val="both"/>
        <w:rPr>
          <w:color w:val="000000"/>
          <w:sz w:val="24"/>
          <w:szCs w:val="24"/>
          <w:lang w:val="en-US"/>
        </w:rPr>
      </w:pPr>
    </w:p>
    <w:p w14:paraId="3FF39D39" w14:textId="77777777" w:rsidR="008D4539" w:rsidRDefault="008D4539" w:rsidP="00B25B92">
      <w:pPr>
        <w:pStyle w:val="standard"/>
        <w:spacing w:after="120" w:line="280" w:lineRule="atLeast"/>
        <w:rPr>
          <w:rFonts w:ascii="Times New Roman" w:hAnsi="Times New Roman"/>
          <w:b/>
          <w:bCs/>
          <w:szCs w:val="20"/>
        </w:rPr>
      </w:pPr>
      <w:r>
        <w:rPr>
          <w:rFonts w:ascii="Times New Roman" w:hAnsi="Times New Roman"/>
          <w:b/>
          <w:bCs/>
          <w:szCs w:val="20"/>
        </w:rPr>
        <w:t>References:</w:t>
      </w:r>
    </w:p>
    <w:p w14:paraId="5339222B" w14:textId="52B32A70" w:rsidR="008D4539" w:rsidRDefault="008D4539" w:rsidP="00726F0D">
      <w:pPr>
        <w:pStyle w:val="standard"/>
        <w:spacing w:line="240" w:lineRule="exact"/>
        <w:ind w:left="426" w:hanging="426"/>
        <w:jc w:val="left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fldChar w:fldCharType="begin"/>
      </w:r>
      <w:r>
        <w:rPr>
          <w:rFonts w:ascii="Times New Roman" w:hAnsi="Times New Roman"/>
          <w:szCs w:val="20"/>
        </w:rPr>
        <w:instrText xml:space="preserve"> ADDIN EN.REFLIST </w:instrText>
      </w:r>
      <w:r>
        <w:rPr>
          <w:rFonts w:ascii="Times New Roman" w:hAnsi="Times New Roman"/>
          <w:szCs w:val="20"/>
        </w:rPr>
        <w:fldChar w:fldCharType="separate"/>
      </w:r>
      <w:r>
        <w:rPr>
          <w:rFonts w:ascii="Times New Roman" w:hAnsi="Times New Roman"/>
          <w:szCs w:val="20"/>
        </w:rPr>
        <w:t>[1]</w:t>
      </w:r>
      <w:r>
        <w:rPr>
          <w:rFonts w:ascii="Times New Roman" w:hAnsi="Times New Roman"/>
          <w:szCs w:val="20"/>
        </w:rPr>
        <w:tab/>
        <w:t>Serhan,</w:t>
      </w:r>
      <w:r w:rsidR="00377E84">
        <w:rPr>
          <w:rFonts w:ascii="Times New Roman" w:hAnsi="Times New Roman"/>
          <w:szCs w:val="20"/>
        </w:rPr>
        <w:t xml:space="preserve"> C. </w:t>
      </w:r>
      <w:r w:rsidR="008A3A72">
        <w:rPr>
          <w:rFonts w:ascii="Times New Roman" w:hAnsi="Times New Roman"/>
          <w:szCs w:val="20"/>
        </w:rPr>
        <w:t>N.</w:t>
      </w:r>
      <w:r w:rsidR="00377E84">
        <w:rPr>
          <w:rFonts w:ascii="Times New Roman" w:hAnsi="Times New Roman"/>
          <w:szCs w:val="20"/>
        </w:rPr>
        <w:t xml:space="preserve">; </w:t>
      </w:r>
      <w:r>
        <w:rPr>
          <w:rFonts w:ascii="Times New Roman" w:hAnsi="Times New Roman"/>
          <w:szCs w:val="20"/>
        </w:rPr>
        <w:t>Hamberg,</w:t>
      </w:r>
      <w:r w:rsidR="00377E84">
        <w:rPr>
          <w:rFonts w:ascii="Times New Roman" w:hAnsi="Times New Roman"/>
          <w:szCs w:val="20"/>
        </w:rPr>
        <w:t xml:space="preserve"> M.;</w:t>
      </w:r>
      <w:r>
        <w:rPr>
          <w:rFonts w:ascii="Times New Roman" w:hAnsi="Times New Roman"/>
          <w:szCs w:val="20"/>
        </w:rPr>
        <w:t xml:space="preserve"> Samuelsson,</w:t>
      </w:r>
      <w:r w:rsidR="00377E84">
        <w:rPr>
          <w:rFonts w:ascii="Times New Roman" w:hAnsi="Times New Roman"/>
          <w:szCs w:val="20"/>
        </w:rPr>
        <w:t xml:space="preserve"> B.</w:t>
      </w:r>
      <w:r>
        <w:rPr>
          <w:rFonts w:ascii="Times New Roman" w:hAnsi="Times New Roman"/>
          <w:szCs w:val="20"/>
        </w:rPr>
        <w:t xml:space="preserve"> </w:t>
      </w:r>
      <w:r>
        <w:rPr>
          <w:rFonts w:ascii="Times New Roman" w:hAnsi="Times New Roman"/>
          <w:i/>
          <w:szCs w:val="20"/>
        </w:rPr>
        <w:t xml:space="preserve">Biochem. Biophys. Res. Commun. </w:t>
      </w:r>
      <w:r w:rsidRPr="00377E84">
        <w:rPr>
          <w:rFonts w:ascii="Times New Roman" w:hAnsi="Times New Roman"/>
          <w:b/>
          <w:bCs/>
          <w:szCs w:val="20"/>
        </w:rPr>
        <w:t>1984</w:t>
      </w:r>
      <w:r>
        <w:rPr>
          <w:rFonts w:ascii="Times New Roman" w:hAnsi="Times New Roman"/>
          <w:szCs w:val="20"/>
        </w:rPr>
        <w:t xml:space="preserve">, </w:t>
      </w:r>
      <w:r>
        <w:rPr>
          <w:rFonts w:ascii="Times New Roman" w:hAnsi="Times New Roman"/>
          <w:i/>
          <w:szCs w:val="20"/>
        </w:rPr>
        <w:t>118</w:t>
      </w:r>
      <w:r>
        <w:rPr>
          <w:rFonts w:ascii="Times New Roman" w:hAnsi="Times New Roman"/>
          <w:szCs w:val="20"/>
        </w:rPr>
        <w:t>, 943.</w:t>
      </w:r>
    </w:p>
    <w:p w14:paraId="51E0ACF4" w14:textId="3DBEC6F2" w:rsidR="008D4539" w:rsidRDefault="008D4539" w:rsidP="00726F0D">
      <w:pPr>
        <w:pStyle w:val="standard"/>
        <w:spacing w:line="240" w:lineRule="exact"/>
        <w:ind w:left="426" w:hanging="426"/>
        <w:jc w:val="left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[2]</w:t>
      </w:r>
      <w:r>
        <w:rPr>
          <w:rFonts w:ascii="Times New Roman" w:hAnsi="Times New Roman"/>
          <w:szCs w:val="20"/>
        </w:rPr>
        <w:tab/>
        <w:t>Lee,</w:t>
      </w:r>
      <w:r w:rsidR="008A3A72">
        <w:rPr>
          <w:rFonts w:ascii="Times New Roman" w:hAnsi="Times New Roman"/>
          <w:szCs w:val="20"/>
        </w:rPr>
        <w:t xml:space="preserve"> T. H.;</w:t>
      </w:r>
      <w:r>
        <w:rPr>
          <w:rFonts w:ascii="Times New Roman" w:hAnsi="Times New Roman"/>
          <w:szCs w:val="20"/>
        </w:rPr>
        <w:t xml:space="preserve"> Crea,</w:t>
      </w:r>
      <w:r w:rsidR="008A3A72">
        <w:rPr>
          <w:rFonts w:ascii="Times New Roman" w:hAnsi="Times New Roman"/>
          <w:szCs w:val="20"/>
        </w:rPr>
        <w:t xml:space="preserve"> A. E. J.;</w:t>
      </w:r>
      <w:r>
        <w:rPr>
          <w:rFonts w:ascii="Times New Roman" w:hAnsi="Times New Roman"/>
          <w:szCs w:val="20"/>
        </w:rPr>
        <w:t xml:space="preserve"> Grant,</w:t>
      </w:r>
      <w:r w:rsidR="008A3A72">
        <w:rPr>
          <w:rFonts w:ascii="Times New Roman" w:hAnsi="Times New Roman"/>
          <w:szCs w:val="20"/>
        </w:rPr>
        <w:t xml:space="preserve"> V.;</w:t>
      </w:r>
      <w:r>
        <w:rPr>
          <w:rFonts w:ascii="Times New Roman" w:hAnsi="Times New Roman"/>
          <w:szCs w:val="20"/>
        </w:rPr>
        <w:t xml:space="preserve"> Spur,</w:t>
      </w:r>
      <w:r w:rsidR="008A3A72">
        <w:rPr>
          <w:rFonts w:ascii="Times New Roman" w:hAnsi="Times New Roman"/>
          <w:szCs w:val="20"/>
        </w:rPr>
        <w:t xml:space="preserve"> B. W.;</w:t>
      </w:r>
      <w:r>
        <w:rPr>
          <w:rFonts w:ascii="Times New Roman" w:hAnsi="Times New Roman"/>
          <w:szCs w:val="20"/>
        </w:rPr>
        <w:t xml:space="preserve"> Marron,</w:t>
      </w:r>
      <w:r w:rsidR="008A3A72">
        <w:rPr>
          <w:rFonts w:ascii="Times New Roman" w:hAnsi="Times New Roman"/>
          <w:szCs w:val="20"/>
        </w:rPr>
        <w:t xml:space="preserve"> B. E.; </w:t>
      </w:r>
      <w:r>
        <w:rPr>
          <w:rFonts w:ascii="Times New Roman" w:hAnsi="Times New Roman"/>
          <w:szCs w:val="20"/>
        </w:rPr>
        <w:t>Nicolaou,</w:t>
      </w:r>
      <w:r w:rsidR="008A3A72">
        <w:rPr>
          <w:rFonts w:ascii="Times New Roman" w:hAnsi="Times New Roman"/>
          <w:szCs w:val="20"/>
        </w:rPr>
        <w:t xml:space="preserve"> K. C.;</w:t>
      </w:r>
      <w:r>
        <w:rPr>
          <w:rFonts w:ascii="Times New Roman" w:hAnsi="Times New Roman"/>
          <w:szCs w:val="20"/>
        </w:rPr>
        <w:t xml:space="preserve"> Reardon,</w:t>
      </w:r>
      <w:r w:rsidR="008A3A72">
        <w:rPr>
          <w:rFonts w:ascii="Times New Roman" w:hAnsi="Times New Roman"/>
          <w:szCs w:val="20"/>
        </w:rPr>
        <w:t xml:space="preserve"> E.; </w:t>
      </w:r>
      <w:r>
        <w:rPr>
          <w:rFonts w:ascii="Times New Roman" w:hAnsi="Times New Roman"/>
          <w:szCs w:val="20"/>
        </w:rPr>
        <w:t>Brezinski,</w:t>
      </w:r>
      <w:r w:rsidR="008A3A72">
        <w:rPr>
          <w:rFonts w:ascii="Times New Roman" w:hAnsi="Times New Roman"/>
          <w:szCs w:val="20"/>
        </w:rPr>
        <w:t xml:space="preserve"> M.;</w:t>
      </w:r>
      <w:r>
        <w:rPr>
          <w:rFonts w:ascii="Times New Roman" w:hAnsi="Times New Roman"/>
          <w:szCs w:val="20"/>
        </w:rPr>
        <w:t xml:space="preserve"> Serhan,</w:t>
      </w:r>
      <w:r w:rsidR="008A3A72">
        <w:rPr>
          <w:rFonts w:ascii="Times New Roman" w:hAnsi="Times New Roman"/>
          <w:szCs w:val="20"/>
        </w:rPr>
        <w:t xml:space="preserve"> C. N.</w:t>
      </w:r>
      <w:r>
        <w:rPr>
          <w:rFonts w:ascii="Times New Roman" w:hAnsi="Times New Roman"/>
          <w:szCs w:val="20"/>
        </w:rPr>
        <w:t xml:space="preserve"> </w:t>
      </w:r>
      <w:r>
        <w:rPr>
          <w:rFonts w:ascii="Times New Roman" w:hAnsi="Times New Roman"/>
          <w:i/>
          <w:szCs w:val="20"/>
        </w:rPr>
        <w:t xml:space="preserve">Am. Rev. Respir. Dis. </w:t>
      </w:r>
      <w:r w:rsidRPr="008A3A72">
        <w:rPr>
          <w:rFonts w:ascii="Times New Roman" w:hAnsi="Times New Roman"/>
          <w:b/>
          <w:bCs/>
          <w:szCs w:val="20"/>
        </w:rPr>
        <w:t>1990</w:t>
      </w:r>
      <w:r>
        <w:rPr>
          <w:rFonts w:ascii="Times New Roman" w:hAnsi="Times New Roman"/>
          <w:szCs w:val="20"/>
        </w:rPr>
        <w:t xml:space="preserve">, </w:t>
      </w:r>
      <w:r>
        <w:rPr>
          <w:rFonts w:ascii="Times New Roman" w:hAnsi="Times New Roman"/>
          <w:i/>
          <w:szCs w:val="20"/>
        </w:rPr>
        <w:t>141</w:t>
      </w:r>
      <w:r>
        <w:rPr>
          <w:rFonts w:ascii="Times New Roman" w:hAnsi="Times New Roman"/>
          <w:szCs w:val="20"/>
        </w:rPr>
        <w:t>, 153.</w:t>
      </w:r>
    </w:p>
    <w:p w14:paraId="3357E49C" w14:textId="56935339" w:rsidR="008D4539" w:rsidRDefault="008D4539" w:rsidP="00726F0D">
      <w:pPr>
        <w:pStyle w:val="standard"/>
        <w:spacing w:line="240" w:lineRule="exact"/>
        <w:ind w:left="426" w:hanging="426"/>
        <w:jc w:val="left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[3]</w:t>
      </w:r>
      <w:r>
        <w:rPr>
          <w:rFonts w:ascii="Times New Roman" w:hAnsi="Times New Roman"/>
          <w:szCs w:val="20"/>
        </w:rPr>
        <w:tab/>
        <w:t>Stenke,</w:t>
      </w:r>
      <w:r w:rsidR="008A3A72">
        <w:rPr>
          <w:rFonts w:ascii="Times New Roman" w:hAnsi="Times New Roman"/>
          <w:szCs w:val="20"/>
        </w:rPr>
        <w:t xml:space="preserve"> L.;</w:t>
      </w:r>
      <w:r>
        <w:rPr>
          <w:rFonts w:ascii="Times New Roman" w:hAnsi="Times New Roman"/>
          <w:szCs w:val="20"/>
        </w:rPr>
        <w:t xml:space="preserve"> Nasman-Glaser,</w:t>
      </w:r>
      <w:r w:rsidR="008A3A72">
        <w:rPr>
          <w:rFonts w:ascii="Times New Roman" w:hAnsi="Times New Roman"/>
          <w:szCs w:val="20"/>
        </w:rPr>
        <w:t xml:space="preserve"> B.;</w:t>
      </w:r>
      <w:r>
        <w:rPr>
          <w:rFonts w:ascii="Times New Roman" w:hAnsi="Times New Roman"/>
          <w:szCs w:val="20"/>
        </w:rPr>
        <w:t xml:space="preserve"> Lindgren,</w:t>
      </w:r>
      <w:r w:rsidR="008A3A72">
        <w:rPr>
          <w:rFonts w:ascii="Times New Roman" w:hAnsi="Times New Roman"/>
          <w:szCs w:val="20"/>
        </w:rPr>
        <w:t xml:space="preserve"> J. A.</w:t>
      </w:r>
      <w:r>
        <w:rPr>
          <w:rFonts w:ascii="Times New Roman" w:hAnsi="Times New Roman"/>
          <w:szCs w:val="20"/>
        </w:rPr>
        <w:t xml:space="preserve"> in </w:t>
      </w:r>
      <w:r>
        <w:rPr>
          <w:rFonts w:ascii="Times New Roman" w:hAnsi="Times New Roman"/>
          <w:i/>
          <w:szCs w:val="20"/>
        </w:rPr>
        <w:t>Proc. 7th Int. Conf. Prostaglandins</w:t>
      </w:r>
      <w:r>
        <w:rPr>
          <w:rFonts w:ascii="Times New Roman" w:hAnsi="Times New Roman"/>
          <w:szCs w:val="20"/>
        </w:rPr>
        <w:t xml:space="preserve">, Florence, </w:t>
      </w:r>
      <w:r w:rsidRPr="008A3A72">
        <w:rPr>
          <w:rFonts w:ascii="Times New Roman" w:hAnsi="Times New Roman"/>
          <w:b/>
          <w:bCs/>
          <w:szCs w:val="20"/>
        </w:rPr>
        <w:t>1990</w:t>
      </w:r>
      <w:r>
        <w:rPr>
          <w:rFonts w:ascii="Times New Roman" w:hAnsi="Times New Roman"/>
          <w:szCs w:val="20"/>
        </w:rPr>
        <w:t>, p. 7.</w:t>
      </w:r>
    </w:p>
    <w:p w14:paraId="4DE9F197" w14:textId="17145125" w:rsidR="008D4539" w:rsidRDefault="00726F0D" w:rsidP="00726F0D">
      <w:pPr>
        <w:pStyle w:val="standard"/>
        <w:spacing w:line="240" w:lineRule="exact"/>
        <w:ind w:left="426" w:hanging="426"/>
        <w:jc w:val="left"/>
        <w:rPr>
          <w:rFonts w:ascii="Times New Roman" w:hAnsi="Times New Roman"/>
          <w:szCs w:val="20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13AF3E" wp14:editId="395D1ADA">
                <wp:simplePos x="0" y="0"/>
                <wp:positionH relativeFrom="column">
                  <wp:posOffset>4019550</wp:posOffset>
                </wp:positionH>
                <wp:positionV relativeFrom="paragraph">
                  <wp:posOffset>255684</wp:posOffset>
                </wp:positionV>
                <wp:extent cx="1549400" cy="714375"/>
                <wp:effectExtent l="0" t="0" r="12700" b="952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59C03" w14:textId="77777777" w:rsidR="008D4539" w:rsidRPr="001A6BB2" w:rsidRDefault="008D453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A6BB2">
                              <w:rPr>
                                <w:sz w:val="32"/>
                                <w:szCs w:val="32"/>
                              </w:rPr>
                              <w:t>Sponsor logo</w:t>
                            </w:r>
                          </w:p>
                          <w:p w14:paraId="7B8F1B18" w14:textId="77777777" w:rsidR="008D4539" w:rsidRDefault="008D4539"/>
                          <w:p w14:paraId="3C0F593C" w14:textId="77777777" w:rsidR="008D4539" w:rsidRDefault="008D4539">
                            <w:r>
                              <w:t>Grant 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3AF3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6.5pt;margin-top:20.15pt;width:122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">
                <v:textbox>
                  <w:txbxContent>
                    <w:p w14:paraId="79959C03" w14:textId="77777777" w:rsidR="008D4539" w:rsidRPr="001A6BB2" w:rsidRDefault="008D4539">
                      <w:pPr>
                        <w:rPr>
                          <w:sz w:val="32"/>
                          <w:szCs w:val="32"/>
                        </w:rPr>
                      </w:pPr>
                      <w:r w:rsidRPr="001A6BB2">
                        <w:rPr>
                          <w:sz w:val="32"/>
                          <w:szCs w:val="32"/>
                        </w:rPr>
                        <w:t>Sponsor logo</w:t>
                      </w:r>
                    </w:p>
                    <w:p w14:paraId="7B8F1B18" w14:textId="77777777" w:rsidR="008D4539" w:rsidRDefault="008D4539"/>
                    <w:p w14:paraId="3C0F593C" w14:textId="77777777" w:rsidR="008D4539" w:rsidRDefault="008D4539">
                      <w:r>
                        <w:t>Grant code</w:t>
                      </w:r>
                    </w:p>
                  </w:txbxContent>
                </v:textbox>
              </v:shape>
            </w:pict>
          </mc:Fallback>
        </mc:AlternateContent>
      </w:r>
      <w:r w:rsidR="008D4539">
        <w:rPr>
          <w:rFonts w:ascii="Times New Roman" w:hAnsi="Times New Roman"/>
          <w:szCs w:val="20"/>
        </w:rPr>
        <w:t>[4]</w:t>
      </w:r>
      <w:r w:rsidR="008D4539">
        <w:rPr>
          <w:rFonts w:ascii="Times New Roman" w:hAnsi="Times New Roman"/>
          <w:szCs w:val="20"/>
        </w:rPr>
        <w:tab/>
        <w:t>Nicolaou,</w:t>
      </w:r>
      <w:r w:rsidR="008A3A72">
        <w:rPr>
          <w:rFonts w:ascii="Times New Roman" w:hAnsi="Times New Roman"/>
          <w:szCs w:val="20"/>
        </w:rPr>
        <w:t xml:space="preserve"> K. C.;</w:t>
      </w:r>
      <w:r w:rsidR="008D4539">
        <w:rPr>
          <w:rFonts w:ascii="Times New Roman" w:hAnsi="Times New Roman"/>
          <w:szCs w:val="20"/>
        </w:rPr>
        <w:t xml:space="preserve"> Ramphal,</w:t>
      </w:r>
      <w:r w:rsidR="008A3A72">
        <w:rPr>
          <w:rFonts w:ascii="Times New Roman" w:hAnsi="Times New Roman"/>
          <w:szCs w:val="20"/>
        </w:rPr>
        <w:t xml:space="preserve"> J. Y.;</w:t>
      </w:r>
      <w:r w:rsidR="008D4539">
        <w:rPr>
          <w:rFonts w:ascii="Times New Roman" w:hAnsi="Times New Roman"/>
          <w:szCs w:val="20"/>
        </w:rPr>
        <w:t xml:space="preserve"> Petasis,</w:t>
      </w:r>
      <w:r w:rsidR="008A3A72">
        <w:rPr>
          <w:rFonts w:ascii="Times New Roman" w:hAnsi="Times New Roman"/>
          <w:szCs w:val="20"/>
        </w:rPr>
        <w:t xml:space="preserve"> N. A.;</w:t>
      </w:r>
      <w:r w:rsidR="008D4539">
        <w:rPr>
          <w:rFonts w:ascii="Times New Roman" w:hAnsi="Times New Roman"/>
          <w:szCs w:val="20"/>
        </w:rPr>
        <w:t xml:space="preserve"> Serhan,</w:t>
      </w:r>
      <w:r w:rsidR="008A3A72">
        <w:rPr>
          <w:rFonts w:ascii="Times New Roman" w:hAnsi="Times New Roman"/>
          <w:szCs w:val="20"/>
        </w:rPr>
        <w:t xml:space="preserve"> C. N.</w:t>
      </w:r>
      <w:r w:rsidR="008D4539">
        <w:rPr>
          <w:rFonts w:ascii="Times New Roman" w:hAnsi="Times New Roman"/>
          <w:szCs w:val="20"/>
        </w:rPr>
        <w:t xml:space="preserve"> </w:t>
      </w:r>
      <w:r w:rsidR="008D4539">
        <w:rPr>
          <w:rFonts w:ascii="Times New Roman" w:hAnsi="Times New Roman"/>
          <w:i/>
          <w:szCs w:val="20"/>
        </w:rPr>
        <w:t xml:space="preserve">Angew. Chem. Int. Ed. Engl. </w:t>
      </w:r>
      <w:r w:rsidR="008D4539" w:rsidRPr="008A3A72">
        <w:rPr>
          <w:rFonts w:ascii="Times New Roman" w:hAnsi="Times New Roman"/>
          <w:b/>
          <w:bCs/>
          <w:szCs w:val="20"/>
        </w:rPr>
        <w:t>1991</w:t>
      </w:r>
      <w:r w:rsidR="008D4539">
        <w:rPr>
          <w:rFonts w:ascii="Times New Roman" w:hAnsi="Times New Roman"/>
          <w:szCs w:val="20"/>
        </w:rPr>
        <w:t xml:space="preserve">, </w:t>
      </w:r>
      <w:r w:rsidR="008D4539">
        <w:rPr>
          <w:rFonts w:ascii="Times New Roman" w:hAnsi="Times New Roman"/>
          <w:i/>
          <w:szCs w:val="20"/>
        </w:rPr>
        <w:t>90</w:t>
      </w:r>
      <w:r w:rsidR="008D4539">
        <w:rPr>
          <w:rFonts w:ascii="Times New Roman" w:hAnsi="Times New Roman"/>
          <w:szCs w:val="20"/>
        </w:rPr>
        <w:t>, 1100.</w:t>
      </w:r>
    </w:p>
    <w:p w14:paraId="22E5FB2F" w14:textId="4DCABA03" w:rsidR="008D4539" w:rsidRDefault="008D4539" w:rsidP="00726F0D">
      <w:pPr>
        <w:pStyle w:val="standard"/>
        <w:spacing w:line="240" w:lineRule="exact"/>
        <w:ind w:left="426" w:hanging="426"/>
        <w:jc w:val="left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[5]</w:t>
      </w:r>
      <w:r w:rsidR="00726F0D">
        <w:rPr>
          <w:rFonts w:ascii="Times New Roman" w:hAnsi="Times New Roman"/>
          <w:szCs w:val="20"/>
        </w:rPr>
        <w:tab/>
      </w:r>
      <w:r>
        <w:rPr>
          <w:rFonts w:ascii="Times New Roman" w:hAnsi="Times New Roman"/>
          <w:szCs w:val="20"/>
        </w:rPr>
        <w:t>Beletskaya,</w:t>
      </w:r>
      <w:r w:rsidR="008A3A72">
        <w:rPr>
          <w:rFonts w:ascii="Times New Roman" w:hAnsi="Times New Roman"/>
          <w:szCs w:val="20"/>
        </w:rPr>
        <w:t xml:space="preserve"> I. P.;</w:t>
      </w:r>
      <w:r>
        <w:rPr>
          <w:rFonts w:ascii="Times New Roman" w:hAnsi="Times New Roman"/>
          <w:szCs w:val="20"/>
        </w:rPr>
        <w:t xml:space="preserve"> Cheprakov,</w:t>
      </w:r>
      <w:r w:rsidR="008A3A72">
        <w:rPr>
          <w:rFonts w:ascii="Times New Roman" w:hAnsi="Times New Roman"/>
          <w:szCs w:val="20"/>
        </w:rPr>
        <w:t xml:space="preserve"> A. V.</w:t>
      </w:r>
      <w:r>
        <w:rPr>
          <w:rFonts w:ascii="Times New Roman" w:hAnsi="Times New Roman"/>
          <w:szCs w:val="20"/>
        </w:rPr>
        <w:t xml:space="preserve"> </w:t>
      </w:r>
      <w:r>
        <w:rPr>
          <w:rFonts w:ascii="Times New Roman" w:hAnsi="Times New Roman"/>
          <w:i/>
          <w:szCs w:val="20"/>
        </w:rPr>
        <w:t xml:space="preserve">Chem. Rev. </w:t>
      </w:r>
      <w:r w:rsidRPr="008A3A72">
        <w:rPr>
          <w:rFonts w:ascii="Times New Roman" w:hAnsi="Times New Roman"/>
          <w:b/>
          <w:bCs/>
          <w:szCs w:val="20"/>
        </w:rPr>
        <w:t>2000</w:t>
      </w:r>
      <w:r>
        <w:rPr>
          <w:rFonts w:ascii="Times New Roman" w:hAnsi="Times New Roman"/>
          <w:szCs w:val="20"/>
        </w:rPr>
        <w:t xml:space="preserve">, </w:t>
      </w:r>
      <w:r>
        <w:rPr>
          <w:rFonts w:ascii="Times New Roman" w:hAnsi="Times New Roman"/>
          <w:i/>
          <w:szCs w:val="20"/>
        </w:rPr>
        <w:t>100</w:t>
      </w:r>
      <w:r>
        <w:rPr>
          <w:rFonts w:ascii="Times New Roman" w:hAnsi="Times New Roman"/>
          <w:szCs w:val="20"/>
        </w:rPr>
        <w:t>, 3009.</w:t>
      </w:r>
    </w:p>
    <w:p w14:paraId="6BE1FEEE" w14:textId="652740C9" w:rsidR="008D4539" w:rsidRPr="00726F0D" w:rsidRDefault="008D4539" w:rsidP="00726F0D">
      <w:r>
        <w:fldChar w:fldCharType="end"/>
      </w:r>
    </w:p>
    <w:sectPr w:rsidR="008D4539" w:rsidRPr="00726F0D" w:rsidSect="008D4539">
      <w:headerReference w:type="default" r:id="rId10"/>
      <w:pgSz w:w="11906" w:h="16838"/>
      <w:pgMar w:top="1387" w:right="1440" w:bottom="1440" w:left="1800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EE58B" w14:textId="77777777" w:rsidR="003E1CEE" w:rsidRDefault="003E1CEE" w:rsidP="008D4539">
      <w:r>
        <w:separator/>
      </w:r>
    </w:p>
  </w:endnote>
  <w:endnote w:type="continuationSeparator" w:id="0">
    <w:p w14:paraId="5C618F73" w14:textId="77777777" w:rsidR="003E1CEE" w:rsidRDefault="003E1CEE" w:rsidP="008D4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﷽﷽﷽﷽﷽﷽Ą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F5BE1" w14:textId="77777777" w:rsidR="003E1CEE" w:rsidRDefault="003E1CEE" w:rsidP="008D4539">
      <w:r>
        <w:separator/>
      </w:r>
    </w:p>
  </w:footnote>
  <w:footnote w:type="continuationSeparator" w:id="0">
    <w:p w14:paraId="6A63B2C3" w14:textId="77777777" w:rsidR="003E1CEE" w:rsidRDefault="003E1CEE" w:rsidP="008D45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9519F" w14:textId="689F24D4" w:rsidR="00BC0D49" w:rsidRPr="00D62E81" w:rsidRDefault="00B80126" w:rsidP="00B80126">
    <w:pPr>
      <w:pStyle w:val="Header"/>
      <w:ind w:firstLine="284"/>
      <w:rPr>
        <w:rFonts w:ascii="Cambria" w:hAnsi="Cambria"/>
        <w:b/>
        <w:sz w:val="32"/>
        <w:szCs w:val="32"/>
        <w:lang w:val="en-IE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484F75B" wp14:editId="35D5DD7F">
          <wp:simplePos x="0" y="0"/>
          <wp:positionH relativeFrom="column">
            <wp:posOffset>-24130</wp:posOffset>
          </wp:positionH>
          <wp:positionV relativeFrom="paragraph">
            <wp:posOffset>-218652</wp:posOffset>
          </wp:positionV>
          <wp:extent cx="481965" cy="708660"/>
          <wp:effectExtent l="0" t="0" r="635" b="2540"/>
          <wp:wrapTight wrapText="bothSides">
            <wp:wrapPolygon edited="0">
              <wp:start x="0" y="0"/>
              <wp:lineTo x="0" y="21290"/>
              <wp:lineTo x="21059" y="21290"/>
              <wp:lineTo x="21059" y="0"/>
              <wp:lineTo x="0" y="0"/>
            </wp:wrapPolygon>
          </wp:wrapTight>
          <wp:docPr id="10" name="Picture 10" descr="ucd_brandmark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cd_brandmark_colou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708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0126">
      <w:rPr>
        <w:rFonts w:ascii="Cambria" w:hAnsi="Cambria"/>
        <w:b/>
        <w:noProof/>
        <w:sz w:val="32"/>
        <w:szCs w:val="32"/>
        <w:lang w:val="en-GB"/>
      </w:rPr>
      <w:drawing>
        <wp:anchor distT="0" distB="0" distL="114300" distR="114300" simplePos="0" relativeHeight="251660288" behindDoc="0" locked="0" layoutInCell="1" allowOverlap="1" wp14:anchorId="333417DB" wp14:editId="47E3F2CB">
          <wp:simplePos x="0" y="0"/>
          <wp:positionH relativeFrom="column">
            <wp:posOffset>4672965</wp:posOffset>
          </wp:positionH>
          <wp:positionV relativeFrom="paragraph">
            <wp:posOffset>-207222</wp:posOffset>
          </wp:positionV>
          <wp:extent cx="788035" cy="683895"/>
          <wp:effectExtent l="0" t="0" r="0" b="1905"/>
          <wp:wrapSquare wrapText="bothSides"/>
          <wp:docPr id="13" name="Picture 1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035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/>
        <w:b/>
        <w:sz w:val="32"/>
        <w:szCs w:val="32"/>
        <w:lang w:val="en-GB"/>
      </w:rPr>
      <w:t xml:space="preserve"> ICI </w:t>
    </w:r>
    <w:r w:rsidR="008D4539">
      <w:rPr>
        <w:rFonts w:ascii="Cambria" w:hAnsi="Cambria"/>
        <w:b/>
        <w:sz w:val="32"/>
        <w:szCs w:val="32"/>
      </w:rPr>
      <w:t xml:space="preserve">Chemistry </w:t>
    </w:r>
    <w:r>
      <w:rPr>
        <w:rFonts w:ascii="Cambria" w:hAnsi="Cambria"/>
        <w:b/>
        <w:sz w:val="32"/>
        <w:szCs w:val="32"/>
        <w:lang w:val="en-GB"/>
      </w:rPr>
      <w:t>Colloquium at UCD</w:t>
    </w:r>
    <w:r w:rsidR="008D4539">
      <w:rPr>
        <w:rFonts w:ascii="Cambria" w:hAnsi="Cambria"/>
        <w:b/>
        <w:sz w:val="32"/>
        <w:szCs w:val="32"/>
      </w:rPr>
      <w:t xml:space="preserve"> 20</w:t>
    </w:r>
    <w:r w:rsidR="00726F0D">
      <w:rPr>
        <w:rFonts w:ascii="Cambria" w:hAnsi="Cambria"/>
        <w:b/>
        <w:sz w:val="32"/>
        <w:szCs w:val="32"/>
        <w:lang w:val="en-GB"/>
      </w:rPr>
      <w:t>2</w:t>
    </w:r>
    <w:r>
      <w:rPr>
        <w:rFonts w:ascii="Cambria" w:hAnsi="Cambria"/>
        <w:b/>
        <w:sz w:val="32"/>
        <w:szCs w:val="32"/>
        <w:lang w:val="en-GB"/>
      </w:rPr>
      <w:t xml:space="preserve">2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37C1A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000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5FCC6CF6"/>
    <w:multiLevelType w:val="singleLevel"/>
    <w:tmpl w:val="EAEC17D2"/>
    <w:lvl w:ilvl="0">
      <w:start w:val="1"/>
      <w:numFmt w:val="decimal"/>
      <w:lvlText w:val="%1"/>
      <w:lvlJc w:val="left"/>
      <w:pPr>
        <w:tabs>
          <w:tab w:val="num" w:pos="606"/>
        </w:tabs>
        <w:ind w:left="606" w:hanging="465"/>
      </w:pPr>
      <w:rPr>
        <w:rFonts w:hint="default"/>
      </w:rPr>
    </w:lvl>
  </w:abstractNum>
  <w:num w:numId="1" w16cid:durableId="751199674">
    <w:abstractNumId w:val="2"/>
  </w:num>
  <w:num w:numId="2" w16cid:durableId="2135832819">
    <w:abstractNumId w:val="1"/>
  </w:num>
  <w:num w:numId="3" w16cid:durableId="1646157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US" w:vendorID="64" w:dllVersion="5" w:nlCheck="1" w:checkStyle="1"/>
  <w:activeWritingStyle w:appName="MSWord" w:lang="en-GB" w:vendorID="64" w:dllVersion="5" w:nlCheck="1" w:checkStyle="1"/>
  <w:activeWritingStyle w:appName="MSWord" w:lang="en-US" w:vendorID="64" w:dllVersion="6" w:nlCheck="1" w:checkStyle="1"/>
  <w:activeWritingStyle w:appName="MSWord" w:lang="en-IE" w:vendorID="64" w:dllVersion="6" w:nlCheck="1" w:checkStyle="1"/>
  <w:activeWritingStyle w:appName="MSWord" w:lang="en-US" w:vendorID="64" w:dllVersion="0" w:nlCheck="1" w:checkStyle="0"/>
  <w:activeWritingStyle w:appName="MSWord" w:lang="en-IE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Angewandte Chemie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lipoxins.enl&lt;/item&gt;&lt;/Libraries&gt;&lt;/ENLibraries&gt;"/>
  </w:docVars>
  <w:rsids>
    <w:rsidRoot w:val="004F0798"/>
    <w:rsid w:val="001A4A74"/>
    <w:rsid w:val="002205FC"/>
    <w:rsid w:val="00223B8B"/>
    <w:rsid w:val="0036673E"/>
    <w:rsid w:val="00375720"/>
    <w:rsid w:val="00377E84"/>
    <w:rsid w:val="003E1CEE"/>
    <w:rsid w:val="004F0798"/>
    <w:rsid w:val="00532847"/>
    <w:rsid w:val="005D55A6"/>
    <w:rsid w:val="00683689"/>
    <w:rsid w:val="00720C43"/>
    <w:rsid w:val="00726F0D"/>
    <w:rsid w:val="00863FD1"/>
    <w:rsid w:val="008A3A72"/>
    <w:rsid w:val="008D4539"/>
    <w:rsid w:val="008E3FC8"/>
    <w:rsid w:val="00954702"/>
    <w:rsid w:val="009E3A70"/>
    <w:rsid w:val="009F3AD9"/>
    <w:rsid w:val="00A372DD"/>
    <w:rsid w:val="00A748F3"/>
    <w:rsid w:val="00AF618F"/>
    <w:rsid w:val="00B04554"/>
    <w:rsid w:val="00B25B92"/>
    <w:rsid w:val="00B56891"/>
    <w:rsid w:val="00B80126"/>
    <w:rsid w:val="00BC0D49"/>
    <w:rsid w:val="00C56237"/>
    <w:rsid w:val="00D354E1"/>
    <w:rsid w:val="00D44C37"/>
    <w:rsid w:val="00D62E81"/>
    <w:rsid w:val="00DC75D3"/>
    <w:rsid w:val="00EA4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5F863F"/>
  <w15:chartTrackingRefBased/>
  <w15:docId w15:val="{37D97C07-D569-445B-9F41-0A925F803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imes" w:hAnsi="Times"/>
      <w:color w:val="000000"/>
      <w:sz w:val="24"/>
      <w:szCs w:val="24"/>
      <w:lang w:val="en-US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ascii="Arial" w:hAnsi="Arial" w:cs="Arial"/>
      <w:b/>
      <w:bCs/>
      <w:color w:val="000000"/>
      <w:sz w:val="24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spacing w:line="480" w:lineRule="auto"/>
    </w:pPr>
    <w:rPr>
      <w:szCs w:val="24"/>
    </w:rPr>
  </w:style>
  <w:style w:type="paragraph" w:styleId="BodyTextIndent">
    <w:name w:val="Body Text Indent"/>
    <w:basedOn w:val="Normal"/>
    <w:pPr>
      <w:spacing w:line="480" w:lineRule="auto"/>
      <w:jc w:val="center"/>
    </w:pPr>
    <w:rPr>
      <w:b/>
      <w:bCs/>
      <w:sz w:val="28"/>
      <w:szCs w:val="28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Arial" w:hAnsi="Arial" w:cs="Arial"/>
      <w:i/>
      <w:iCs/>
      <w:szCs w:val="24"/>
    </w:rPr>
  </w:style>
  <w:style w:type="paragraph" w:customStyle="1" w:styleId="standard">
    <w:name w:val="standard"/>
    <w:basedOn w:val="Normal"/>
    <w:pPr>
      <w:spacing w:line="360" w:lineRule="exact"/>
      <w:jc w:val="both"/>
    </w:pPr>
    <w:rPr>
      <w:rFonts w:ascii="Times" w:hAnsi="Times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A6BB2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1A6BB2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A6BB2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1A6BB2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BB2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1A6BB2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A6BB2"/>
    <w:pPr>
      <w:autoSpaceDE/>
      <w:autoSpaceDN/>
      <w:spacing w:before="100" w:beforeAutospacing="1" w:after="100" w:afterAutospacing="1"/>
    </w:pPr>
    <w:rPr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47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ettings" Target="settings.xml"/><Relationship Id="rId7" Type="http://schemas.openxmlformats.org/officeDocument/2006/relationships/hyperlink" Target="mailto:p.guiry@ucd.i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AXIALLY CHIRAL PHOSPHINAMINE LIGANDS FOR ASYMMETRIC CATALYSIS</vt:lpstr>
    </vt:vector>
  </TitlesOfParts>
  <Company>University College Dublin</Company>
  <LinksUpToDate>false</LinksUpToDate>
  <CharactersWithSpaces>4385</CharactersWithSpaces>
  <SharedDoc>false</SharedDoc>
  <HLinks>
    <vt:vector size="6" baseType="variant">
      <vt:variant>
        <vt:i4>1900654</vt:i4>
      </vt:variant>
      <vt:variant>
        <vt:i4>0</vt:i4>
      </vt:variant>
      <vt:variant>
        <vt:i4>0</vt:i4>
      </vt:variant>
      <vt:variant>
        <vt:i4>5</vt:i4>
      </vt:variant>
      <vt:variant>
        <vt:lpwstr>mailto:p.guiry@ucd.ie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AXIALLY CHIRAL PHOSPHINAMINE LIGANDS FOR ASYMMETRIC CATALYSIS</dc:title>
  <dc:subject/>
  <dc:creator>wsapp_bf</dc:creator>
  <cp:keywords/>
  <cp:lastModifiedBy>Sean Kenny</cp:lastModifiedBy>
  <cp:revision>2</cp:revision>
  <cp:lastPrinted>2022-05-10T09:59:00Z</cp:lastPrinted>
  <dcterms:created xsi:type="dcterms:W3CDTF">2022-05-11T15:15:00Z</dcterms:created>
  <dcterms:modified xsi:type="dcterms:W3CDTF">2022-05-11T15:15:00Z</dcterms:modified>
</cp:coreProperties>
</file>